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Gossamer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Management Inc.</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24,932,565.00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24,932,565.00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24,942,565.00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5.10 %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24,141,629.00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24,141,629.00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24,141,629.00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Based on 488,846,722 shares of Common Stock outstanding as of June 5, 2026, as reported by Gossamer Bio, Inc. in its Definitive Proxy Statement on Schedule 14A filed with the SEC on June 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Silverman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24,942,565.00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24,942,565.00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24,942,565.00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Gossamer Bio, Inc.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3115 Merryfield Row, Suite 120, San Diego, CALIFORNIA , 92121</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Opaleye Management Inc. (the "Adviser"), (ii) Opaleye, L.P. (the "Fund"), and (iii) James Silverman (collectively, the "Reporting Persons"). The Fund directly holds 24,141,629 shares of Common Stock, par value $0.0001 per share (the "Common Stock"), of Gossamer Bio, Inc. (the "Issuer"). The Adviser, as investment adviser to the Fund and a separately managed account, and Mr. Silverman, as the controlling person of the Adviser, may be deemed to beneficially own an aggregate of 24,942,565 shares of Common Stock, consisting of 24,141,629 shares held directly by the Fund and 800,936 shares held in a separately managed account. The filing of this statement shall not be construed as an admission that any Reporting Person is the beneficial owner of any securities covered by this statement for purposes of Section 13 of the Securities Exchange Act of 1934, as amended, or otherwise.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Boston Place, 26th Floor, Boston, MA 02108</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Opaleye Management Inc. - Massachusetts Opaleye, L.P. - Delaware James Silverman - United States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24,942,565.00</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5.10 %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24,942,565.00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24,942,565.00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Opaleye Management Inc.</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Opaleye, L.P.</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General Partner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James Silverman</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9"/>
        <w:gridCol w:w="4256"/>
      </w:tblGrid>
      <w:tr>
        <w:trPr/>
        <w:tc>
          <w:tcPr>
            <w:tcW w:w="59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James Silverman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Individually</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56" w:type="dxa"/>
            <w:tcBorders/>
            <w:vAlign w:val="center"/>
          </w:tcPr>
          <w:p>
            <w:pPr>
              <w:pStyle w:val="TableContents"/>
              <w:bidi w:val="0"/>
              <w:spacing w:before="0" w:after="283"/>
              <w:jc w:val="left"/>
              <w:rPr>
                <w:sz w:val="4"/>
                <w:szCs w:val="4"/>
              </w:rPr>
            </w:pPr>
            <w:r>
              <w:rPr>
                <w:sz w:val="4"/>
                <w:szCs w:val="4"/>
              </w:rPr>
            </w:r>
          </w:p>
        </w:tc>
      </w:tr>
    </w:tbl>
    <w:tbl>
      <w:tblPr>
        <w:tblW w:w="7021" w:type="dxa"/>
        <w:jc w:val="left"/>
        <w:tblInd w:w="0" w:type="dxa"/>
        <w:tblLayout w:type="fixed"/>
        <w:tblCellMar>
          <w:top w:w="28" w:type="dxa"/>
          <w:left w:w="28" w:type="dxa"/>
          <w:bottom w:w="28" w:type="dxa"/>
          <w:right w:w="28" w:type="dxa"/>
        </w:tblCellMar>
      </w:tblPr>
      <w:tblGrid>
        <w:gridCol w:w="7021"/>
      </w:tblGrid>
      <w:tr>
        <w:trPr/>
        <w:tc>
          <w:tcPr>
            <w:tcW w:w="7021" w:type="dxa"/>
            <w:tcBorders/>
            <w:vAlign w:val="center"/>
          </w:tcPr>
          <w:p>
            <w:pPr>
              <w:pStyle w:val="TableContents"/>
              <w:bidi w:val="0"/>
              <w:spacing w:before="0" w:after="283"/>
              <w:jc w:val="center"/>
              <w:rPr>
                <w:b/>
              </w:rPr>
            </w:pPr>
            <w:r>
              <w:rPr>
                <w:b/>
              </w:rPr>
              <w:t xml:space="preserve">Exhibit Information </w:t>
            </w:r>
          </w:p>
        </w:tc>
      </w:tr>
      <w:tr>
        <w:trPr/>
        <w:tc>
          <w:tcPr>
            <w:tcW w:w="7021" w:type="dxa"/>
            <w:tcBorders/>
            <w:vAlign w:val="center"/>
          </w:tcPr>
          <w:p>
            <w:pPr>
              <w:pStyle w:val="TableContents"/>
              <w:bidi w:val="0"/>
              <w:spacing w:before="0" w:after="283"/>
              <w:jc w:val="left"/>
              <w:rPr/>
            </w:pPr>
            <w:r>
              <w:rPr/>
              <w:t>Exhibit 99.1 Joint Filing Agreement by and among the reporting persons</w:t>
            </w:r>
          </w:p>
        </w:tc>
      </w:tr>
    </w:tbl>
    <w:p>
      <w:pPr>
        <w:pStyle w:val="TextBody"/>
        <w:bidi w:val="0"/>
        <w:jc w:val="left"/>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dated as of July 29, 2026, is by and among Opaleye Management Inc., Opaleye, L.P. and James Silverman (collectively, the “Filers”).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Filers may be required to file with the United States Securities and Exchange Commission a statement on Schedule 13D and/or 13G with respect to shares of common stock of Gossamer Bio, Inc. beneficially owned by them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terminated by any of the Filers upon written notice or such lesser period of notice as the Filers may mutually agree.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delivered as of the date first above written.</w:t>
      </w:r>
    </w:p>
    <w:p>
      <w:pPr>
        <w:pStyle w:val="TextBody"/>
        <w:bidi w:val="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694"/>
        <w:gridCol w:w="2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MANAGEMENT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1374</Words>
  <Characters>7156</Characters>
  <CharactersWithSpaces>8495</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