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180340</wp:posOffset>
            </wp:positionV>
            <wp:extent cx="2631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216535</wp:posOffset>
            </wp:positionV>
            <wp:extent cx="2631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200025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GOSSAMER BIO,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193675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6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001-38796</w:t>
            </w: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rPr>
              <w:t>47-5461709</w:t>
            </w:r>
          </w:p>
        </w:tc>
        <w:tc>
          <w:tcPr>
            <w:tcW w:w="0" w:type="dxa"/>
            <w:vAlign w:val="bottom"/>
          </w:tcPr>
          <w:p>
            <w:pPr>
              <w:spacing w:after="0"/>
              <w:rPr>
                <w:sz w:val="1"/>
                <w:szCs w:val="1"/>
                <w:color w:val="auto"/>
              </w:rPr>
            </w:pPr>
          </w:p>
        </w:tc>
      </w:tr>
      <w:tr>
        <w:trPr>
          <w:trHeight w:val="146"/>
        </w:trPr>
        <w:tc>
          <w:tcPr>
            <w:tcW w:w="2140" w:type="dxa"/>
            <w:vAlign w:val="bottom"/>
          </w:tcPr>
          <w:p>
            <w:pPr>
              <w:jc w:val="center"/>
              <w:ind w:right="36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680" w:type="dxa"/>
            <w:vAlign w:val="bottom"/>
          </w:tcPr>
          <w:p>
            <w:pPr>
              <w:jc w:val="center"/>
              <w:ind w:left="4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vMerge w:val="continue"/>
          </w:tcPr>
          <w:p>
            <w:pPr>
              <w:spacing w:after="0"/>
              <w:rPr>
                <w:sz w:val="16"/>
                <w:szCs w:val="16"/>
                <w:color w:val="auto"/>
              </w:rPr>
            </w:pPr>
          </w:p>
        </w:tc>
        <w:tc>
          <w:tcPr>
            <w:tcW w:w="168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76"/>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3115 Merryfield Row, Suite 120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(858) 684-1300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N/A</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177800</wp:posOffset>
            </wp:positionV>
            <wp:extent cx="263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1"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740" w:hanging="714"/>
        <w:spacing w:after="0" w:line="215" w:lineRule="auto"/>
        <w:tabs>
          <w:tab w:leader="none" w:pos="7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36"/>
          <w:szCs w:val="36"/>
          <w:color w:val="auto"/>
          <w:vertAlign w:val="subscript"/>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00" w:firstLine="26"/>
        <w:spacing w:after="0" w:line="371" w:lineRule="auto"/>
        <w:tabs>
          <w:tab w:leader="none" w:pos="73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180" w:type="dxa"/>
            <w:vAlign w:val="bottom"/>
            <w:gridSpan w:val="2"/>
            <w:vMerge w:val="continue"/>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4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GOSS</w:t>
            </w:r>
          </w:p>
        </w:tc>
        <w:tc>
          <w:tcPr>
            <w:tcW w:w="120" w:type="dxa"/>
            <w:vAlign w:val="bottom"/>
          </w:tcPr>
          <w:p>
            <w:pPr>
              <w:spacing w:after="0"/>
              <w:rPr>
                <w:sz w:val="20"/>
                <w:szCs w:val="20"/>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2"/>
          <w:szCs w:val="12"/>
          <w:color w:val="auto"/>
        </w:rPr>
        <w:t>☐</w:t>
      </w:r>
    </w:p>
    <w:p>
      <w:pPr>
        <w:spacing w:after="0" w:line="171"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1"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17, 2026, Gossamer Bio, Inc. (“Gossamer” or the “Company”) issued a press release announcing the final tender results for the Company’s previously announced exchange offer (the “Exchange Offer”) to exchange any and all of its 5.00% Convertible Senior Notes due 2027 (the “Existing Convertible Notes”) for a pro rata portion of (i) up to $72.0 million in aggregate principal amount of its new 7.50% Convertible Senior Secured First Lien Notes due 2030, (ii) up to 317,647,058 shares of its common stock (the “Common Stock”) or, in lieu of issuing shares of Common Stock to the extent such shares would cause any holders of Existing Convertible Notes that are “qualified institutional buyers” as defined in Rule 144A under the Securities Act (“Eligible Holders”) to beneficially own greater than 9.99% of the outstanding Common Stock, prefunded warrants to purchase shares of Common Stock and (iii) with respect to Eligible Holders who tendered prior to the previously announced extended early tender date, warrants to purchase shares of Common Stock. The full text of the press release is furnished herewith as Exhibit 99.1 and incorporated herein by reference.</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or incorporated herein, including the press release attached as Exhibit 99.1, shall not be deemed “filed” for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whether made before or after the date hereof, except as expressly set forth by specific reference in such filing to this Current Report on Form 8-K.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Current Report on Form 8-K is being made in respect of certain stockholder proposals arising out of the Exchange Offer and related transaction support agreement. The stockholder proposals will be submitted to the Company’s stockholders for their consideration and approval at a special meeting of the Company’s stockholders to be held on July 14, 2026. In connection with the stockholder proposals, the Company has filed with the Securities and Exchange Commission (“SEC”) a definitive proxy statement on Schedule 14A (the “Proxy Statement”) on June 9, 2026, which contains important information about the stockholder proposals and related matters. The Company may also file other relevant documents with the SEC regarding the stockholder proposals. This Current Report on Form 8-K is not a substitute for the Proxy Statement or any other document that the Company may file with the SEC. BEFORE MAKING ANY VOTING DECISION WITH RESPECT TO THE STOCKHOLDER PROPOSALS, INVESTORS AND SECURITY HOLDERS ARE URGED TO READ THE PROXY STATEMENT AND ANY OTHER RELEVANT DOCUMENTS THAT ARE FILED OR WILL BE FILED WITH THE SEC, AS WELL AS ANY AMENDMENTS OR SUPPLEMENTS TO THESE DOCUMENTS, CAREFULLY AND IN THEIR ENTIRETY IF AND WHEN THEY BECOME AVAILABLE BECAUSE THEY CONTAIN OR WILL CONTAIN IMPORTANT INFORMATION ABOUT THE STOCKHOLDER PROPOSALS, THE RISKS RELATED THERETO AND RELATED MATTERS.</w:t>
      </w:r>
    </w:p>
    <w:p>
      <w:pPr>
        <w:spacing w:after="0" w:line="1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Investors and security holders may obtain free copies of the Proxy Statement and other documents containing important information about the Company and the Stockholder Proposals that are filed or will be filed with the SEC by the Company at the SEC’s website at www.sec.gov or at the Company’s website at ir.gossamerbio.com.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other members of management and employees may, under the rules of the SEC, be deemed to be participants in the solicitation of proxies from the Company’s stockholders in connection with the Stockholder Proposals. Information regarding the Company’s directors and named executive officers, including a description of their direct or indirect interests, by security holdings or otherwise, is contained in the definitive proxy statement for the 2026 annual meeting of stockholders, which was filed with the SEC on April 24, 2026 (the “2026 Annual Meeting Proxy Statement”). To the extent holdings of the Company’s securities by such directors or executive officers (or the identity of such directors or executive officers) have changed since the information set forth in the 2026 Annual Meeting Proxy Statement, such information has been or will be reflected on the Initial Statements of Beneficial Ownership on Form 3 or Statements of Changes in Beneficial Ownership on Form 4 filed with the SEC. Additional information regarding the interests of the Company’s directors and executive officers in the Stockholder Proposals is included in the Proxy Statement filed with the SEC.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cautions you that statements contained in this report regarding matters that are not historical facts are forward-looking statements. These statements are based on the Company’s current beliefs and expectations. Such forward-looking statements include, but are not limited to, statements regarding: the Company’s Exchange Offer and consent solicitation relating to its Existing Convertible Notes, including the timing and anticipated benefits thereof. The inclusion of forward-looking statements should not be regarded as a representation by Gossamer that any of its plans will be achieved. Actual results may differ from those set forth in this report due to the risks and uncertainties inherent in Gossamer’s business, including, without limitation: the Company may not be able to complete the Exchange Offer on the anticipated timeline or at all, and the Company may not realize the anticipated benefits therefrom; and other risks described in the Company’s prior filings with the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100" w:type="dxa"/>
            <w:vAlign w:val="bottom"/>
          </w:tcPr>
          <w:p>
            <w:pPr>
              <w:spacing w:after="0"/>
              <w:rPr>
                <w:sz w:val="13"/>
                <w:szCs w:val="13"/>
                <w:color w:val="auto"/>
              </w:rPr>
            </w:pPr>
          </w:p>
        </w:tc>
        <w:tc>
          <w:tcPr>
            <w:tcW w:w="58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7"/>
        </w:trPr>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10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6"/>
                <w:szCs w:val="16"/>
                <w:color w:val="auto"/>
              </w:rPr>
            </w:pPr>
          </w:p>
        </w:tc>
        <w:tc>
          <w:tcPr>
            <w:tcW w:w="4100" w:type="dxa"/>
            <w:vAlign w:val="bottom"/>
            <w:tcBorders>
              <w:top w:val="single" w:sz="8" w:color="auto"/>
              <w:bottom w:val="single" w:sz="8" w:color="3051F2"/>
            </w:tcBorders>
          </w:tcPr>
          <w:p>
            <w:pPr>
              <w:spacing w:after="0" w:line="189" w:lineRule="exact"/>
              <w:rPr>
                <w:sz w:val="20"/>
                <w:szCs w:val="20"/>
                <w:color w:val="auto"/>
              </w:rPr>
            </w:pPr>
            <w:r>
              <w:rPr>
                <w:rFonts w:ascii="Times New Roman" w:cs="Times New Roman" w:eastAsia="Times New Roman" w:hAnsi="Times New Roman"/>
                <w:sz w:val="18"/>
                <w:szCs w:val="18"/>
                <w:color w:val="3051F2"/>
                <w:w w:val="99"/>
              </w:rPr>
              <w:t>Press release of Gossamer Bio, Inc. dated June 17, 2026.</w:t>
            </w:r>
          </w:p>
        </w:tc>
        <w:tc>
          <w:tcPr>
            <w:tcW w:w="5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1"/>
                <w:szCs w:val="21"/>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1303"/>
        </w:trPr>
        <w:tc>
          <w:tcPr>
            <w:tcW w:w="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GOSSAMER BIO, INC.</w:t>
            </w:r>
          </w:p>
        </w:tc>
      </w:tr>
      <w:tr>
        <w:trPr>
          <w:trHeight w:val="45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76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Christian Waage</w:t>
            </w:r>
          </w:p>
        </w:tc>
      </w:tr>
      <w:tr>
        <w:trPr>
          <w:trHeight w:val="218"/>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Christian Waage</w:t>
            </w:r>
          </w:p>
        </w:tc>
      </w:tr>
      <w:tr>
        <w:trPr>
          <w:trHeight w:val="234"/>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bl>
    <w:p>
      <w:pPr>
        <w:sectPr>
          <w:pgSz w:w="11900" w:h="16838" w:orient="portrait"/>
          <w:cols w:equalWidth="0" w:num="1">
            <w:col w:w="11220"/>
          </w:cols>
          <w:pgMar w:left="320" w:top="887"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814705</wp:posOffset>
            </wp:positionV>
            <wp:extent cx="1371600"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40"/>
        <w:spacing w:after="0" w:line="287" w:lineRule="auto"/>
        <w:rPr>
          <w:sz w:val="20"/>
          <w:szCs w:val="20"/>
          <w:color w:val="auto"/>
        </w:rPr>
      </w:pPr>
      <w:r>
        <w:rPr>
          <w:rFonts w:ascii="Times New Roman" w:cs="Times New Roman" w:eastAsia="Times New Roman" w:hAnsi="Times New Roman"/>
          <w:sz w:val="22"/>
          <w:szCs w:val="22"/>
          <w:b w:val="1"/>
          <w:bCs w:val="1"/>
          <w:color w:val="0A0A0A"/>
        </w:rPr>
        <w:t>Gossamer Bio, Inc. Announces Final Tender Results for Exchange Offer and Consent Solicitation with Respect to Existing Convertible Notes</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0A0A0A"/>
        </w:rPr>
        <w:t xml:space="preserve">San Diego, California. (June 17, 2026) </w:t>
      </w:r>
      <w:r>
        <w:rPr>
          <w:rFonts w:ascii="Times New Roman" w:cs="Times New Roman" w:eastAsia="Times New Roman" w:hAnsi="Times New Roman"/>
          <w:sz w:val="22"/>
          <w:szCs w:val="22"/>
          <w:color w:val="0A0A0A"/>
        </w:rPr>
        <w:t>– Gossamer Bio, Inc. (NASDAQ: GOSS) (the “Company” or “Gossamer”), a</w:t>
      </w:r>
      <w:r>
        <w:rPr>
          <w:rFonts w:ascii="Times New Roman" w:cs="Times New Roman" w:eastAsia="Times New Roman" w:hAnsi="Times New Roman"/>
          <w:sz w:val="22"/>
          <w:szCs w:val="22"/>
          <w:b w:val="1"/>
          <w:bCs w:val="1"/>
          <w:color w:val="0A0A0A"/>
        </w:rPr>
        <w:t xml:space="preserve"> </w:t>
      </w:r>
      <w:r>
        <w:rPr>
          <w:rFonts w:ascii="Times New Roman" w:cs="Times New Roman" w:eastAsia="Times New Roman" w:hAnsi="Times New Roman"/>
          <w:sz w:val="22"/>
          <w:szCs w:val="22"/>
          <w:color w:val="0A0A0A"/>
        </w:rPr>
        <w:t>biopharmaceutical company focused on the development and commercialization of seralutinib for the treatment of pulmonary arterial hypertension (PAH) and pulmonary hypertension associated with interstitial lung disease (PH-ILD), today announced the final tender results of its previously announced exchange offer (the “Exchange Offer”) to exchange any and all of its 5.00% Convertible Senior Notes due 2027 (the “Existing Convertible Notes”) for a pro rata portion of (i) up to $72.0 million in aggregate principal amount of its new 7.50% Convertible Senior Secured First Lien Notes due 2030 (the “New Convertible Notes”), (ii) up to 317,647,058 shares of its common stock (the “Common Stock”) or, in lieu of issuing shares of Common Stock to the extent such shares would cause any holders of Existing Convertible Notes that are “qualified institutional buyers” as defined in Rule 144A under the Securities Act (“Eligible Holders”) to beneficially own greater than 9.99% of the outstanding Common Stock, prefunded warrants to purchase shares of Common Stock (the “Prefunded Warrants” and, together with the Common Stock, the “Equity Securities”) and (iii) with respect to Eligible Holders who tender prior to the Extended Early Tender Date (as defined below), warrants to purchase shares of Common Stock (the “Purchase Warrants” and, together with the New Convertible Notes and Equity Securities, the “Offered Securities”).</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0A0A0A"/>
        </w:rPr>
        <w:t>As previously announced, as of 5:00 p.m., New York City time, on June 2, 2026 (the “Extended Early Tender Date”), $181,052,000 in aggregate principal amount of Existing Convertible Notes was validly tendered in the Exchange Offer and not validly withdrawn (such notes, the “Early Tendered Notes”) and related consents to the Proposed Amendments (as defined below) were validly delivered and not validly withdrawn as of such time, and the Company and the Required Supporting Noteholders agreed to amend the condition to the Exchange Offer that a minimum of 98% of the aggregate principal amount of Existing Convertible Notes be validly tendered to a minimum of 90.5% of the aggregate principal amount of Existing Convertible Notes be validly tendered. As a result, early settlement of Offered Securities in exchange for the Early Tendered Notes validly tendered and not validly withdrawn as of the Extended Early Tender Date occurred on June 4, 2026, and the Company entered into a supplemental indenture eliminating substantially all of the restrictive covenants in the indenture governing the Existing Convertible Notes, as well as certain events of default and related provisions applicable to the Existing Convertible Notes (the “Proposed Amendments”).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0A0A0A"/>
        </w:rPr>
        <w:t>As of 5:00 p.m., New York City time, on June 16, 2026, based on information provided by D.F. King &amp; Co., Inc., which is acting as the exchange agent and information agent for the Exchange Offer, no additional Existing Convertible Notes were validly tendered in the Exchange Offer. As</w:t>
      </w:r>
    </w:p>
    <w:p>
      <w:pPr>
        <w:sectPr>
          <w:pgSz w:w="11900" w:h="16838" w:orient="portrait"/>
          <w:cols w:equalWidth="0" w:num="1">
            <w:col w:w="11240"/>
          </w:cols>
          <w:pgMar w:left="320" w:top="122" w:right="339" w:bottom="1440" w:gutter="0" w:footer="0" w:header="0"/>
        </w:sectPr>
      </w:pPr>
    </w:p>
    <w:bookmarkStart w:id="5" w:name="page6"/>
    <w:bookmarkEnd w:id="5"/>
    <w:p>
      <w:pPr>
        <w:jc w:val="both"/>
        <w:spacing w:after="0" w:line="271" w:lineRule="auto"/>
        <w:rPr>
          <w:sz w:val="20"/>
          <w:szCs w:val="20"/>
          <w:color w:val="auto"/>
        </w:rPr>
      </w:pPr>
      <w:r>
        <w:rPr>
          <w:rFonts w:ascii="Times New Roman" w:cs="Times New Roman" w:eastAsia="Times New Roman" w:hAnsi="Times New Roman"/>
          <w:sz w:val="22"/>
          <w:szCs w:val="22"/>
          <w:color w:val="0A0A0A"/>
        </w:rPr>
        <w:t>a result, $18,948,000 in aggregate principal amount of the Existing Convertible Notes will remain outstanding following this Exchange Offer.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A0A0A"/>
        </w:rPr>
        <w:t>About Gossamer Bio</w:t>
      </w:r>
    </w:p>
    <w:p>
      <w:pPr>
        <w:spacing w:after="0" w:line="2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0A0A0A"/>
        </w:rPr>
        <w:t>Gossamer Bio is a biopharmaceutical company focused on the development of treatments for pulmonary hypertension. Its goal is to be an industry leader in, and to enhance the lives of patients living with, pulmonary hypertension.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A0A0A"/>
        </w:rPr>
        <w:t>Gossamer Bio Forward Looking Statements</w:t>
      </w:r>
    </w:p>
    <w:p>
      <w:pPr>
        <w:spacing w:after="0" w:line="2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0A0A0A"/>
        </w:rPr>
        <w:t>The Company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Company’s Exchange Offer and Consent Solicitation relating to its Existing Convertible Notes, including the timing and anticipated benefits thereof. The inclusion of forward-looking statements should not be regarded as a representation by Gossamer that any of its plans will be achieved. Actual results may differ from those set forth in this press release due to the risks and uncertainties inherent in Gossamer’s business, including, without limitation: the Company may not be able to complete the Exchange Offer on the anticipated timeline or at all, and the Company may not realize the anticipated benefits therefrom;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A0A0A"/>
        </w:rPr>
        <w:t>For Investors and Media: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Bryan Giraudo, Chief Financial Officer &amp; Chief Operating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Gossamer Bio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ir@gossamerbio.com</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2026-06-17T07:03:12Z</dcterms:created>
  <dcterms:modified xsi:type="dcterms:W3CDTF">2026-06-17T07:03:12Z</dcterms:modified>
</cp:coreProperties>
</file>